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B4" w:rsidRDefault="00DD6EB4" w:rsidP="00DD6EB4"/>
    <w:p w:rsidR="00DD6EB4" w:rsidRPr="006817A0" w:rsidRDefault="00DD6EB4" w:rsidP="00DD6EB4">
      <w:pPr>
        <w:rPr>
          <w:rFonts w:ascii="Garamond" w:hAnsi="Garamond"/>
          <w:b/>
          <w:sz w:val="28"/>
          <w:szCs w:val="28"/>
        </w:rPr>
      </w:pPr>
      <w:r w:rsidRPr="006817A0">
        <w:rPr>
          <w:rFonts w:ascii="Garamond" w:hAnsi="Garamond"/>
          <w:b/>
          <w:sz w:val="28"/>
          <w:szCs w:val="28"/>
        </w:rPr>
        <w:t xml:space="preserve">Vinterseminaret, </w:t>
      </w:r>
      <w:r>
        <w:rPr>
          <w:rFonts w:ascii="Garamond" w:hAnsi="Garamond"/>
          <w:b/>
          <w:sz w:val="28"/>
          <w:szCs w:val="28"/>
        </w:rPr>
        <w:t xml:space="preserve">Program for </w:t>
      </w:r>
      <w:r w:rsidRPr="006817A0">
        <w:rPr>
          <w:rFonts w:ascii="Garamond" w:hAnsi="Garamond"/>
          <w:b/>
          <w:sz w:val="28"/>
          <w:szCs w:val="28"/>
        </w:rPr>
        <w:t>sesjon kjønnssosiologi</w:t>
      </w:r>
    </w:p>
    <w:tbl>
      <w:tblPr>
        <w:tblStyle w:val="TableGrid"/>
        <w:tblW w:w="0" w:type="auto"/>
        <w:tblLook w:val="04A0" w:firstRow="1" w:lastRow="0" w:firstColumn="1" w:lastColumn="0" w:noHBand="0" w:noVBand="1"/>
      </w:tblPr>
      <w:tblGrid>
        <w:gridCol w:w="2768"/>
        <w:gridCol w:w="2804"/>
        <w:gridCol w:w="2944"/>
      </w:tblGrid>
      <w:tr w:rsidR="00DD6EB4" w:rsidTr="009B0906">
        <w:tc>
          <w:tcPr>
            <w:tcW w:w="3166" w:type="dxa"/>
          </w:tcPr>
          <w:p w:rsidR="00DD6EB4" w:rsidRPr="00515ABC" w:rsidRDefault="00DD6EB4" w:rsidP="009B0906">
            <w:pPr>
              <w:rPr>
                <w:b/>
                <w:sz w:val="28"/>
                <w:szCs w:val="28"/>
              </w:rPr>
            </w:pPr>
            <w:r w:rsidRPr="00515ABC">
              <w:rPr>
                <w:b/>
                <w:sz w:val="28"/>
                <w:szCs w:val="28"/>
              </w:rPr>
              <w:t>Tider</w:t>
            </w:r>
          </w:p>
        </w:tc>
        <w:tc>
          <w:tcPr>
            <w:tcW w:w="3167" w:type="dxa"/>
          </w:tcPr>
          <w:p w:rsidR="00DD6EB4" w:rsidRPr="00515ABC" w:rsidRDefault="00DD6EB4" w:rsidP="009B0906">
            <w:pPr>
              <w:rPr>
                <w:b/>
                <w:sz w:val="28"/>
                <w:szCs w:val="28"/>
              </w:rPr>
            </w:pPr>
            <w:r w:rsidRPr="00515ABC">
              <w:rPr>
                <w:b/>
                <w:sz w:val="28"/>
                <w:szCs w:val="28"/>
              </w:rPr>
              <w:t>Navn</w:t>
            </w:r>
          </w:p>
        </w:tc>
        <w:tc>
          <w:tcPr>
            <w:tcW w:w="3167" w:type="dxa"/>
          </w:tcPr>
          <w:p w:rsidR="00DD6EB4" w:rsidRPr="00515ABC" w:rsidRDefault="00DD6EB4" w:rsidP="009B0906">
            <w:pPr>
              <w:rPr>
                <w:b/>
                <w:sz w:val="28"/>
                <w:szCs w:val="28"/>
              </w:rPr>
            </w:pPr>
            <w:r w:rsidRPr="00515ABC">
              <w:rPr>
                <w:b/>
                <w:sz w:val="28"/>
                <w:szCs w:val="28"/>
              </w:rPr>
              <w:t>Tittel</w:t>
            </w:r>
          </w:p>
        </w:tc>
      </w:tr>
      <w:tr w:rsidR="00DD6EB4" w:rsidTr="009B0906">
        <w:tc>
          <w:tcPr>
            <w:tcW w:w="9500" w:type="dxa"/>
            <w:gridSpan w:val="3"/>
          </w:tcPr>
          <w:p w:rsidR="00DD6EB4" w:rsidRPr="00515ABC" w:rsidRDefault="00DD6EB4" w:rsidP="009B0906">
            <w:pPr>
              <w:jc w:val="center"/>
              <w:rPr>
                <w:b/>
                <w:sz w:val="28"/>
                <w:szCs w:val="28"/>
              </w:rPr>
            </w:pPr>
            <w:r w:rsidRPr="00515ABC">
              <w:rPr>
                <w:b/>
                <w:sz w:val="28"/>
                <w:szCs w:val="28"/>
              </w:rPr>
              <w:t>Fredag 1. Februar 15.30-17.30</w:t>
            </w:r>
          </w:p>
        </w:tc>
      </w:tr>
      <w:tr w:rsidR="00DD6EB4" w:rsidRPr="00741FF9" w:rsidTr="009B0906">
        <w:tc>
          <w:tcPr>
            <w:tcW w:w="3166" w:type="dxa"/>
          </w:tcPr>
          <w:p w:rsidR="00DD6EB4" w:rsidRDefault="00DD6EB4" w:rsidP="009B0906">
            <w:r>
              <w:t>15.30-15.50</w:t>
            </w:r>
          </w:p>
        </w:tc>
        <w:tc>
          <w:tcPr>
            <w:tcW w:w="3167" w:type="dxa"/>
          </w:tcPr>
          <w:p w:rsidR="00DD6EB4" w:rsidRDefault="00DD6EB4" w:rsidP="009B0906">
            <w:r>
              <w:t>Liza Reisel</w:t>
            </w:r>
          </w:p>
        </w:tc>
        <w:tc>
          <w:tcPr>
            <w:tcW w:w="3167" w:type="dxa"/>
          </w:tcPr>
          <w:p w:rsidR="00DD6EB4" w:rsidRPr="000D0BFD" w:rsidRDefault="00DD6EB4" w:rsidP="009B0906">
            <w:r w:rsidRPr="000D0BFD">
              <w:t>Gender, Status, and Social Change: Educational Choices in an Advanced Gender Equality Context</w:t>
            </w:r>
          </w:p>
        </w:tc>
      </w:tr>
      <w:tr w:rsidR="00DD6EB4" w:rsidRPr="00741FF9" w:rsidTr="009B0906">
        <w:tc>
          <w:tcPr>
            <w:tcW w:w="3166" w:type="dxa"/>
          </w:tcPr>
          <w:p w:rsidR="00DD6EB4" w:rsidRDefault="00DD6EB4" w:rsidP="009B0906">
            <w:r>
              <w:t>15.50-16.10</w:t>
            </w:r>
          </w:p>
        </w:tc>
        <w:tc>
          <w:tcPr>
            <w:tcW w:w="3167" w:type="dxa"/>
          </w:tcPr>
          <w:p w:rsidR="00DD6EB4" w:rsidRDefault="00DD6EB4" w:rsidP="009B0906">
            <w:r>
              <w:t>Edvard Larsen</w:t>
            </w:r>
          </w:p>
        </w:tc>
        <w:tc>
          <w:tcPr>
            <w:tcW w:w="3167" w:type="dxa"/>
          </w:tcPr>
          <w:p w:rsidR="00DD6EB4" w:rsidRPr="00265A63" w:rsidRDefault="00DD6EB4" w:rsidP="009B0906">
            <w:r w:rsidRPr="00265A63">
              <w:t xml:space="preserve">Equally unequal? </w:t>
            </w:r>
            <w:r w:rsidRPr="000D0BFD">
              <w:t>Evidence from a cross-national field experiment on gender and ethnic discrimination in five European labour markets</w:t>
            </w:r>
          </w:p>
        </w:tc>
      </w:tr>
      <w:tr w:rsidR="00DD6EB4" w:rsidRPr="00265A63" w:rsidTr="009B0906">
        <w:tc>
          <w:tcPr>
            <w:tcW w:w="3166" w:type="dxa"/>
          </w:tcPr>
          <w:p w:rsidR="00DD6EB4" w:rsidRDefault="00DD6EB4" w:rsidP="009B0906">
            <w:r>
              <w:t>16.10-16.30</w:t>
            </w:r>
          </w:p>
        </w:tc>
        <w:tc>
          <w:tcPr>
            <w:tcW w:w="3167" w:type="dxa"/>
          </w:tcPr>
          <w:p w:rsidR="00DD6EB4" w:rsidRDefault="00DD6EB4" w:rsidP="009B0906">
            <w:r>
              <w:t xml:space="preserve">Ingvill Stuvøy </w:t>
            </w:r>
          </w:p>
        </w:tc>
        <w:tc>
          <w:tcPr>
            <w:tcW w:w="3167" w:type="dxa"/>
          </w:tcPr>
          <w:p w:rsidR="00DD6EB4" w:rsidRPr="00741FF9" w:rsidRDefault="00DD6EB4" w:rsidP="009B0906">
            <w:pPr>
              <w:rPr>
                <w:lang w:val="nb-NO"/>
              </w:rPr>
            </w:pPr>
            <w:r w:rsidRPr="00741FF9">
              <w:rPr>
                <w:lang w:val="nb-NO"/>
              </w:rPr>
              <w:t xml:space="preserve">En hjelpende livmor. Om (bio)politikk, surrogati og den reproduktive assistansens dys-/utopiske potensiale </w:t>
            </w:r>
          </w:p>
        </w:tc>
      </w:tr>
      <w:tr w:rsidR="00DD6EB4" w:rsidTr="009B0906">
        <w:tc>
          <w:tcPr>
            <w:tcW w:w="3166" w:type="dxa"/>
          </w:tcPr>
          <w:p w:rsidR="00DD6EB4" w:rsidRDefault="00DD6EB4" w:rsidP="009B0906">
            <w:r>
              <w:t>16.30-16.50</w:t>
            </w:r>
          </w:p>
        </w:tc>
        <w:tc>
          <w:tcPr>
            <w:tcW w:w="3167" w:type="dxa"/>
          </w:tcPr>
          <w:p w:rsidR="00DD6EB4" w:rsidRDefault="00DD6EB4" w:rsidP="009B0906">
            <w:r>
              <w:t>Hege Kitterød</w:t>
            </w:r>
          </w:p>
        </w:tc>
        <w:tc>
          <w:tcPr>
            <w:tcW w:w="3167" w:type="dxa"/>
          </w:tcPr>
          <w:p w:rsidR="00DD6EB4" w:rsidRPr="00741FF9" w:rsidRDefault="00DD6EB4" w:rsidP="009B0906">
            <w:pPr>
              <w:rPr>
                <w:lang w:val="nb-NO"/>
              </w:rPr>
            </w:pPr>
            <w:r w:rsidRPr="00741FF9">
              <w:rPr>
                <w:lang w:val="nb-NO"/>
              </w:rPr>
              <w:t>Fedrekvote og likestilling. Naturlige eksperimenter i norsk kontekst </w:t>
            </w:r>
          </w:p>
        </w:tc>
      </w:tr>
      <w:tr w:rsidR="00DD6EB4" w:rsidTr="009B0906">
        <w:tc>
          <w:tcPr>
            <w:tcW w:w="3166" w:type="dxa"/>
          </w:tcPr>
          <w:p w:rsidR="00DD6EB4" w:rsidRDefault="00DD6EB4" w:rsidP="009B0906">
            <w:r>
              <w:t>16.50-17.10</w:t>
            </w:r>
          </w:p>
        </w:tc>
        <w:tc>
          <w:tcPr>
            <w:tcW w:w="3167" w:type="dxa"/>
          </w:tcPr>
          <w:p w:rsidR="00DD6EB4" w:rsidRDefault="00DD6EB4" w:rsidP="009B0906">
            <w:r>
              <w:t>Tanja H. Nordberg</w:t>
            </w:r>
          </w:p>
        </w:tc>
        <w:tc>
          <w:tcPr>
            <w:tcW w:w="3167" w:type="dxa"/>
          </w:tcPr>
          <w:p w:rsidR="00DD6EB4" w:rsidRPr="00741FF9" w:rsidRDefault="00DD6EB4" w:rsidP="009B0906">
            <w:pPr>
              <w:rPr>
                <w:lang w:val="nb-NO"/>
              </w:rPr>
            </w:pPr>
            <w:r w:rsidRPr="00741FF9">
              <w:rPr>
                <w:lang w:val="nb-NO"/>
              </w:rPr>
              <w:t>Hvem har ansvaret for likestilling i arbeidslivet? En kritisk analyse av arbeidsgivers aktivitetsplikt</w:t>
            </w:r>
          </w:p>
        </w:tc>
      </w:tr>
      <w:tr w:rsidR="00DD6EB4" w:rsidTr="009B0906">
        <w:tc>
          <w:tcPr>
            <w:tcW w:w="3166" w:type="dxa"/>
          </w:tcPr>
          <w:p w:rsidR="00DD6EB4" w:rsidRDefault="00DD6EB4" w:rsidP="009B0906">
            <w:r>
              <w:t>17.10-17.30</w:t>
            </w:r>
          </w:p>
        </w:tc>
        <w:tc>
          <w:tcPr>
            <w:tcW w:w="3167" w:type="dxa"/>
          </w:tcPr>
          <w:p w:rsidR="00DD6EB4" w:rsidRPr="00741FF9" w:rsidRDefault="00DD6EB4" w:rsidP="009B0906">
            <w:pPr>
              <w:rPr>
                <w:lang w:val="nb-NO"/>
              </w:rPr>
            </w:pPr>
            <w:r w:rsidRPr="00741FF9">
              <w:rPr>
                <w:lang w:val="nb-NO"/>
              </w:rPr>
              <w:t>Rønnaug Sørensen og Rune Åkvik Nilsen</w:t>
            </w:r>
          </w:p>
        </w:tc>
        <w:tc>
          <w:tcPr>
            <w:tcW w:w="3167" w:type="dxa"/>
          </w:tcPr>
          <w:p w:rsidR="00DD6EB4" w:rsidRPr="00741FF9" w:rsidRDefault="00DD6EB4" w:rsidP="009B0906">
            <w:pPr>
              <w:shd w:val="clear" w:color="auto" w:fill="FFFFFF"/>
              <w:rPr>
                <w:lang w:val="nb-NO"/>
              </w:rPr>
            </w:pPr>
            <w:r w:rsidRPr="00741FF9">
              <w:rPr>
                <w:rFonts w:ascii="Garamond" w:eastAsia="Times New Roman" w:hAnsi="Garamond" w:cs="Segoe UI"/>
                <w:sz w:val="24"/>
                <w:szCs w:val="24"/>
                <w:lang w:val="nb-NO" w:eastAsia="nb-NO"/>
              </w:rPr>
              <w:t>‘</w:t>
            </w:r>
            <w:r w:rsidRPr="00741FF9">
              <w:rPr>
                <w:lang w:val="nb-NO"/>
              </w:rPr>
              <w:t>Pierre Bourdieu og den maskuline dominans: Spenninger mellom strukturer og aktører i SKAM – Del 2’</w:t>
            </w:r>
          </w:p>
        </w:tc>
      </w:tr>
      <w:tr w:rsidR="00DD6EB4" w:rsidTr="009B0906">
        <w:tc>
          <w:tcPr>
            <w:tcW w:w="9500" w:type="dxa"/>
            <w:gridSpan w:val="3"/>
          </w:tcPr>
          <w:p w:rsidR="00DD6EB4" w:rsidRPr="00515ABC" w:rsidRDefault="00DD6EB4" w:rsidP="009B0906">
            <w:pPr>
              <w:jc w:val="center"/>
              <w:rPr>
                <w:b/>
                <w:sz w:val="28"/>
                <w:szCs w:val="28"/>
              </w:rPr>
            </w:pPr>
            <w:r w:rsidRPr="00515ABC">
              <w:rPr>
                <w:b/>
                <w:sz w:val="28"/>
                <w:szCs w:val="28"/>
              </w:rPr>
              <w:t>Lørdag 2. Februar kl. 16.30</w:t>
            </w:r>
          </w:p>
        </w:tc>
      </w:tr>
      <w:tr w:rsidR="00DD6EB4" w:rsidRPr="00741FF9" w:rsidTr="009B0906">
        <w:tc>
          <w:tcPr>
            <w:tcW w:w="3166" w:type="dxa"/>
          </w:tcPr>
          <w:p w:rsidR="00DD6EB4" w:rsidRDefault="00DD6EB4" w:rsidP="009B0906">
            <w:r>
              <w:t>16.30-16.50</w:t>
            </w:r>
          </w:p>
        </w:tc>
        <w:tc>
          <w:tcPr>
            <w:tcW w:w="3167" w:type="dxa"/>
          </w:tcPr>
          <w:p w:rsidR="00DD6EB4" w:rsidRDefault="00DD6EB4" w:rsidP="009B0906">
            <w:r>
              <w:t>Marte Mangset</w:t>
            </w:r>
          </w:p>
        </w:tc>
        <w:tc>
          <w:tcPr>
            <w:tcW w:w="3167" w:type="dxa"/>
          </w:tcPr>
          <w:p w:rsidR="00DD6EB4" w:rsidRPr="000D0BFD" w:rsidRDefault="00DD6EB4" w:rsidP="009B0906">
            <w:r w:rsidRPr="000D0BFD">
              <w:t>Reproducing elites through diversity talk</w:t>
            </w:r>
          </w:p>
          <w:p w:rsidR="00DD6EB4" w:rsidRPr="000D0BFD" w:rsidRDefault="00DD6EB4" w:rsidP="009B0906">
            <w:r w:rsidRPr="000D0BFD">
              <w:t>Judging merit in appointments to professorship in Norway</w:t>
            </w:r>
          </w:p>
        </w:tc>
      </w:tr>
      <w:tr w:rsidR="00DD6EB4" w:rsidTr="009B0906">
        <w:tc>
          <w:tcPr>
            <w:tcW w:w="3166" w:type="dxa"/>
          </w:tcPr>
          <w:p w:rsidR="00DD6EB4" w:rsidRDefault="00DD6EB4" w:rsidP="009B0906">
            <w:r>
              <w:t>16.50-17.10</w:t>
            </w:r>
          </w:p>
        </w:tc>
        <w:tc>
          <w:tcPr>
            <w:tcW w:w="3167" w:type="dxa"/>
          </w:tcPr>
          <w:p w:rsidR="00DD6EB4" w:rsidRDefault="00DD6EB4" w:rsidP="009B0906">
            <w:r>
              <w:t>Mona Bråthen</w:t>
            </w:r>
          </w:p>
        </w:tc>
        <w:tc>
          <w:tcPr>
            <w:tcW w:w="3167" w:type="dxa"/>
          </w:tcPr>
          <w:p w:rsidR="00DD6EB4" w:rsidRPr="00741FF9" w:rsidRDefault="00DD6EB4" w:rsidP="009B0906">
            <w:pPr>
              <w:rPr>
                <w:lang w:val="nb-NO"/>
              </w:rPr>
            </w:pPr>
            <w:r w:rsidRPr="00741FF9">
              <w:rPr>
                <w:lang w:val="nb-NO"/>
              </w:rPr>
              <w:t>Seksuell trakassering på norske arbeidsplasser</w:t>
            </w:r>
          </w:p>
        </w:tc>
      </w:tr>
      <w:tr w:rsidR="00DD6EB4" w:rsidTr="009B0906">
        <w:tc>
          <w:tcPr>
            <w:tcW w:w="3166" w:type="dxa"/>
          </w:tcPr>
          <w:p w:rsidR="00DD6EB4" w:rsidRDefault="00DD6EB4" w:rsidP="009B0906">
            <w:r>
              <w:t>17.10-17.30</w:t>
            </w:r>
          </w:p>
        </w:tc>
        <w:tc>
          <w:tcPr>
            <w:tcW w:w="3167" w:type="dxa"/>
          </w:tcPr>
          <w:p w:rsidR="00DD6EB4" w:rsidRDefault="00DD6EB4" w:rsidP="009B0906">
            <w:r>
              <w:t>May-Len Skilbrei</w:t>
            </w:r>
          </w:p>
        </w:tc>
        <w:tc>
          <w:tcPr>
            <w:tcW w:w="3167" w:type="dxa"/>
          </w:tcPr>
          <w:p w:rsidR="00DD6EB4" w:rsidRDefault="00DD6EB4" w:rsidP="009B0906">
            <w:r w:rsidRPr="00515ABC">
              <w:t>Legalstrategier i nordisk feminisme</w:t>
            </w:r>
          </w:p>
        </w:tc>
      </w:tr>
      <w:tr w:rsidR="00DD6EB4" w:rsidRPr="00FD334F" w:rsidTr="009B0906">
        <w:tc>
          <w:tcPr>
            <w:tcW w:w="3166" w:type="dxa"/>
          </w:tcPr>
          <w:p w:rsidR="00DD6EB4" w:rsidRDefault="00DD6EB4" w:rsidP="009B0906">
            <w:r>
              <w:t>17.30-17.50</w:t>
            </w:r>
          </w:p>
        </w:tc>
        <w:tc>
          <w:tcPr>
            <w:tcW w:w="3167" w:type="dxa"/>
          </w:tcPr>
          <w:p w:rsidR="00DD6EB4" w:rsidRDefault="00DD6EB4" w:rsidP="009B0906">
            <w:r>
              <w:t>Guri Tyldum</w:t>
            </w:r>
          </w:p>
        </w:tc>
        <w:tc>
          <w:tcPr>
            <w:tcW w:w="3167" w:type="dxa"/>
          </w:tcPr>
          <w:p w:rsidR="00DD6EB4" w:rsidRPr="00741FF9" w:rsidRDefault="00DD6EB4" w:rsidP="009B0906">
            <w:pPr>
              <w:rPr>
                <w:lang w:val="nb-NO"/>
              </w:rPr>
            </w:pPr>
            <w:r w:rsidRPr="00741FF9">
              <w:rPr>
                <w:lang w:val="nb-NO"/>
              </w:rPr>
              <w:t xml:space="preserve">Likestilling som ideal og realitet </w:t>
            </w:r>
          </w:p>
        </w:tc>
      </w:tr>
      <w:tr w:rsidR="00DD6EB4" w:rsidTr="009B0906">
        <w:tc>
          <w:tcPr>
            <w:tcW w:w="3166" w:type="dxa"/>
          </w:tcPr>
          <w:p w:rsidR="00DD6EB4" w:rsidRDefault="00DD6EB4" w:rsidP="009B0906">
            <w:r>
              <w:t>17.50-18.10</w:t>
            </w:r>
          </w:p>
        </w:tc>
        <w:tc>
          <w:tcPr>
            <w:tcW w:w="3167" w:type="dxa"/>
          </w:tcPr>
          <w:p w:rsidR="00DD6EB4" w:rsidRDefault="00DD6EB4" w:rsidP="009B0906">
            <w:r>
              <w:t>Hannah Løke Kjos</w:t>
            </w:r>
          </w:p>
        </w:tc>
        <w:tc>
          <w:tcPr>
            <w:tcW w:w="3167" w:type="dxa"/>
          </w:tcPr>
          <w:p w:rsidR="00DD6EB4" w:rsidRDefault="00DD6EB4" w:rsidP="009B0906"/>
        </w:tc>
      </w:tr>
      <w:tr w:rsidR="00DD6EB4" w:rsidTr="009B0906">
        <w:tc>
          <w:tcPr>
            <w:tcW w:w="3166" w:type="dxa"/>
          </w:tcPr>
          <w:p w:rsidR="00DD6EB4" w:rsidRDefault="00DD6EB4" w:rsidP="009B0906">
            <w:r>
              <w:t>18.10-18.30</w:t>
            </w:r>
          </w:p>
        </w:tc>
        <w:tc>
          <w:tcPr>
            <w:tcW w:w="3167" w:type="dxa"/>
          </w:tcPr>
          <w:p w:rsidR="00DD6EB4" w:rsidRDefault="00DD6EB4" w:rsidP="009B0906">
            <w:r>
              <w:t>Anne Britt Djuve</w:t>
            </w:r>
          </w:p>
        </w:tc>
        <w:tc>
          <w:tcPr>
            <w:tcW w:w="3167" w:type="dxa"/>
          </w:tcPr>
          <w:p w:rsidR="00DD6EB4" w:rsidRPr="00741FF9" w:rsidRDefault="00DD6EB4" w:rsidP="009B0906">
            <w:pPr>
              <w:rPr>
                <w:lang w:val="nb-NO"/>
              </w:rPr>
            </w:pPr>
            <w:r w:rsidRPr="00741FF9">
              <w:rPr>
                <w:lang w:val="nb-NO"/>
              </w:rPr>
              <w:t>Kvinne, tigger og migrant: Den ultimate interseksjonalitet, eller en ny posisjon for romkvinner?</w:t>
            </w:r>
          </w:p>
          <w:p w:rsidR="00DD6EB4" w:rsidRPr="00741FF9" w:rsidRDefault="00DD6EB4" w:rsidP="009B0906">
            <w:pPr>
              <w:rPr>
                <w:lang w:val="nb-NO"/>
              </w:rPr>
            </w:pPr>
          </w:p>
        </w:tc>
      </w:tr>
    </w:tbl>
    <w:p w:rsidR="00DD6EB4" w:rsidRDefault="00DD6EB4" w:rsidP="00DD6EB4"/>
    <w:p w:rsidR="00DD6EB4" w:rsidRDefault="00DD6EB4" w:rsidP="00DD6EB4"/>
    <w:p w:rsidR="00DD6EB4" w:rsidRPr="006817A0" w:rsidRDefault="00DD6EB4" w:rsidP="00DD6EB4">
      <w:pPr>
        <w:rPr>
          <w:rFonts w:ascii="Garamond" w:hAnsi="Garamond"/>
        </w:rPr>
      </w:pPr>
      <w:r w:rsidRPr="006817A0">
        <w:rPr>
          <w:rFonts w:ascii="Garamond" w:hAnsi="Garamond"/>
          <w:b/>
          <w:sz w:val="28"/>
          <w:szCs w:val="28"/>
        </w:rPr>
        <w:lastRenderedPageBreak/>
        <w:t>Vinterseminaret</w:t>
      </w:r>
      <w:r>
        <w:rPr>
          <w:rFonts w:ascii="Garamond" w:hAnsi="Garamond"/>
          <w:b/>
          <w:sz w:val="28"/>
          <w:szCs w:val="28"/>
        </w:rPr>
        <w:t xml:space="preserve"> 2019</w:t>
      </w:r>
      <w:r w:rsidRPr="006817A0">
        <w:rPr>
          <w:rFonts w:ascii="Garamond" w:hAnsi="Garamond"/>
          <w:b/>
          <w:sz w:val="28"/>
          <w:szCs w:val="28"/>
        </w:rPr>
        <w:t>, sesjon kjønnssosiologi</w:t>
      </w:r>
      <w:r>
        <w:rPr>
          <w:rFonts w:ascii="Garamond" w:hAnsi="Garamond"/>
          <w:b/>
          <w:sz w:val="28"/>
          <w:szCs w:val="28"/>
        </w:rPr>
        <w:t xml:space="preserve"> (Beret Bråten og Mari Teigen)</w:t>
      </w:r>
    </w:p>
    <w:p w:rsidR="00DD6EB4" w:rsidRDefault="00DD6EB4" w:rsidP="00DD6EB4">
      <w:pPr>
        <w:rPr>
          <w:rFonts w:ascii="Garamond" w:hAnsi="Garamond"/>
          <w:b/>
          <w:lang w:val="nn-NO"/>
        </w:rPr>
      </w:pPr>
    </w:p>
    <w:p w:rsidR="00DD6EB4" w:rsidRPr="00FD334F" w:rsidRDefault="00DD6EB4" w:rsidP="00DD6EB4">
      <w:pPr>
        <w:shd w:val="clear" w:color="auto" w:fill="FFFFFF"/>
        <w:rPr>
          <w:rFonts w:ascii="Garamond" w:eastAsia="Times New Roman" w:hAnsi="Garamond" w:cs="Segoe UI"/>
          <w:lang w:val="en-US" w:eastAsia="nb-NO"/>
        </w:rPr>
      </w:pPr>
      <w:r w:rsidRPr="00130A5C">
        <w:rPr>
          <w:rFonts w:ascii="Garamond" w:eastAsia="Times New Roman" w:hAnsi="Garamond" w:cs="Segoe UI"/>
          <w:b/>
          <w:lang w:val="en-US" w:eastAsia="nb-NO"/>
        </w:rPr>
        <w:t>Liza Reisel</w:t>
      </w:r>
      <w:r>
        <w:rPr>
          <w:rFonts w:ascii="Garamond" w:eastAsia="Times New Roman" w:hAnsi="Garamond" w:cs="Segoe UI"/>
          <w:b/>
          <w:lang w:val="en-US" w:eastAsia="nb-NO"/>
        </w:rPr>
        <w:t xml:space="preserve"> (ISF): </w:t>
      </w:r>
      <w:r w:rsidRPr="00FD334F">
        <w:rPr>
          <w:rFonts w:ascii="Garamond" w:eastAsia="Times New Roman" w:hAnsi="Garamond" w:cs="Segoe UI"/>
          <w:lang w:val="en-US" w:eastAsia="nb-NO"/>
        </w:rPr>
        <w:t>Gender, Status, and Social Change: Educational Choices in an Advanced Gender Equality Context.</w:t>
      </w:r>
    </w:p>
    <w:p w:rsidR="00DD6EB4" w:rsidRPr="00130A5C" w:rsidRDefault="00DD6EB4" w:rsidP="00DD6EB4">
      <w:pPr>
        <w:shd w:val="clear" w:color="auto" w:fill="FFFFFF"/>
        <w:rPr>
          <w:rFonts w:ascii="Garamond" w:eastAsia="Times New Roman" w:hAnsi="Garamond" w:cs="Segoe UI"/>
          <w:b/>
          <w:lang w:val="en-US" w:eastAsia="nb-NO"/>
        </w:rPr>
      </w:pPr>
    </w:p>
    <w:p w:rsidR="00DD6EB4" w:rsidRPr="00130A5C" w:rsidRDefault="00DD6EB4" w:rsidP="00DD6EB4">
      <w:pPr>
        <w:shd w:val="clear" w:color="auto" w:fill="FFFFFF"/>
        <w:rPr>
          <w:rFonts w:ascii="Garamond" w:eastAsia="Times New Roman" w:hAnsi="Garamond" w:cs="Segoe UI"/>
          <w:lang w:val="en-US" w:eastAsia="nb-NO"/>
        </w:rPr>
      </w:pPr>
      <w:r w:rsidRPr="00C007BA">
        <w:rPr>
          <w:rFonts w:ascii="Garamond" w:eastAsia="Times New Roman" w:hAnsi="Garamond" w:cs="Segoe UI"/>
          <w:lang w:val="en-US" w:eastAsia="nb-NO"/>
        </w:rPr>
        <w:t xml:space="preserve">In this paper, we ask how gender and status interact to (re)produce gendered educational choices in an advanced gender equality context. </w:t>
      </w:r>
      <w:r w:rsidRPr="00130A5C">
        <w:rPr>
          <w:rFonts w:ascii="Garamond" w:eastAsia="Times New Roman" w:hAnsi="Garamond" w:cs="Segoe UI"/>
          <w:lang w:val="en-US" w:eastAsia="nb-NO"/>
        </w:rPr>
        <w:t>We use the Norwegian context as a case in point. Previous studies have argued that gender-atypical educational choices are primarily made by middle class women, due to incentives of upward mobility associated with choosing male dominated fields (e.g. England 2010). As the gender balance in higher education has shifted over time, it is not clear whether this logic still holds. Based on longitudinal survey data, combined with data from public registries, we ask: Are male dominated fields (still) associated with social mobility for women? Are female dominated fields more attractive to working class girls? What is associated with non-traditional choices among boys (and girls)? Preliminary findings suggest that boys are more likely to choose gender-atypical educational programs across social class categories, especially if they have low grades. Moreover, boys with gender egalitarian views are significantly more likely to choose female dominated fields. We also find  that enrolling in higher education is positively and significantly associated with atypical choices for both genders. Our findings suggest that changes in attitudes may influence gendered educational choices over time, and that changes in the gender balance in higher education implies a weaker association between gender (a)typical educational choices and upward mobility for newer generations of youth.</w:t>
      </w:r>
    </w:p>
    <w:p w:rsidR="00DD6EB4" w:rsidRPr="001337DE" w:rsidRDefault="00DD6EB4" w:rsidP="00DD6EB4">
      <w:pPr>
        <w:rPr>
          <w:rFonts w:ascii="Garamond" w:hAnsi="Garamond"/>
          <w:b/>
          <w:lang w:val="en-US"/>
        </w:rPr>
      </w:pPr>
    </w:p>
    <w:p w:rsidR="00DD6EB4" w:rsidRPr="00FD334F" w:rsidRDefault="00DD6EB4" w:rsidP="00DD6EB4">
      <w:pPr>
        <w:rPr>
          <w:rFonts w:ascii="Garamond" w:hAnsi="Garamond"/>
          <w:lang w:val="en-US"/>
        </w:rPr>
      </w:pPr>
      <w:r w:rsidRPr="006472D7">
        <w:rPr>
          <w:rFonts w:ascii="Garamond" w:hAnsi="Garamond"/>
          <w:b/>
          <w:lang w:val="en-US"/>
        </w:rPr>
        <w:t xml:space="preserve">Edvard Larsen (ISS, UiO): </w:t>
      </w:r>
      <w:r w:rsidRPr="006472D7">
        <w:rPr>
          <w:rFonts w:ascii="Garamond" w:hAnsi="Garamond"/>
          <w:lang w:val="en-US"/>
        </w:rPr>
        <w:t xml:space="preserve">Equally unequal? </w:t>
      </w:r>
      <w:r w:rsidRPr="00FD334F">
        <w:rPr>
          <w:rFonts w:ascii="Garamond" w:hAnsi="Garamond"/>
          <w:lang w:val="en-US"/>
        </w:rPr>
        <w:t>Evidence from a cross-national field experiment on gender and ethnic discrimination in five European labour markets</w:t>
      </w:r>
    </w:p>
    <w:p w:rsidR="00DD6EB4" w:rsidRPr="00AB4508" w:rsidRDefault="00DD6EB4" w:rsidP="00DD6EB4">
      <w:pPr>
        <w:contextualSpacing/>
        <w:rPr>
          <w:rFonts w:ascii="Garamond" w:hAnsi="Garamond" w:cs="Times New Roman"/>
          <w:bCs/>
          <w:iCs/>
          <w:lang w:val="en-US"/>
        </w:rPr>
      </w:pPr>
      <w:r w:rsidRPr="00AB4508">
        <w:rPr>
          <w:rFonts w:ascii="Garamond" w:hAnsi="Garamond" w:cs="Times New Roman"/>
          <w:bCs/>
          <w:iCs/>
          <w:lang w:val="en-US"/>
        </w:rPr>
        <w:t>In this paper we examine whether ethnic discrimination in the labour market varies by gender, drawing on a cross-nationally harmonized field experiment conducted simultaneously in five European countries: Britain, Germany, Netherlands, Norway and Spain. More than 19 000 fictitious job applicants were submitted to real job listings in a range of occupations, where the applicants gender and minority background was randomly varied. This allows us to investigate variation in ethnic discrimination across genders and occupations in differing national contexts. We extend previous work on double burdens and intersectionality by explicitly relating theories on the interplay between gender and ethnic discrimination with the literature on horizontal gender segregation and occupational sex typing. We find the overall magnitude of ethnic discrimination to be similar across genders, but with substantial variation across occupations: Female minority candidates are more strongly penalized in female-typed occupations compared to their majority counterparts, while male minorities experience similar penalties across occupations. One possible explanation is that gendered-stereotypical beliefs about the ideal worker are mainly related to members of the majority group.</w:t>
      </w:r>
    </w:p>
    <w:p w:rsidR="00DD6EB4" w:rsidRDefault="00DD6EB4" w:rsidP="00DD6EB4">
      <w:pPr>
        <w:ind w:left="105"/>
        <w:rPr>
          <w:rFonts w:ascii="Calibri" w:hAnsi="Calibri"/>
          <w:b/>
          <w:bCs/>
          <w:color w:val="1F497D"/>
          <w:lang w:val="en-US"/>
        </w:rPr>
      </w:pPr>
    </w:p>
    <w:p w:rsidR="00DD6EB4" w:rsidRPr="00A75A28" w:rsidRDefault="00DD6EB4" w:rsidP="00DD6EB4">
      <w:pPr>
        <w:rPr>
          <w:rFonts w:ascii="Garamond" w:hAnsi="Garamond"/>
          <w:b/>
        </w:rPr>
      </w:pPr>
      <w:r w:rsidRPr="00A75A28">
        <w:rPr>
          <w:rFonts w:ascii="Garamond" w:hAnsi="Garamond"/>
          <w:b/>
        </w:rPr>
        <w:t>Ingvill Stuvøy</w:t>
      </w:r>
      <w:r>
        <w:rPr>
          <w:rFonts w:ascii="Garamond" w:hAnsi="Garamond"/>
          <w:b/>
        </w:rPr>
        <w:t xml:space="preserve"> (ISS, NTNU): </w:t>
      </w:r>
      <w:r w:rsidRPr="00FD334F">
        <w:rPr>
          <w:rFonts w:ascii="Garamond" w:hAnsi="Garamond"/>
        </w:rPr>
        <w:t>En hjelpende livmor. Om (bio)politikk, surrogati og den reproduktive assistansens dys-/utopiske potensiale</w:t>
      </w:r>
    </w:p>
    <w:p w:rsidR="00DD6EB4" w:rsidRPr="00A75A28" w:rsidRDefault="00DD6EB4" w:rsidP="00DD6EB4">
      <w:pPr>
        <w:rPr>
          <w:rFonts w:ascii="Garamond" w:hAnsi="Garamond"/>
        </w:rPr>
      </w:pPr>
      <w:r w:rsidRPr="00A75A28">
        <w:rPr>
          <w:rFonts w:ascii="Garamond" w:hAnsi="Garamond"/>
        </w:rPr>
        <w:t>Surrogati har vært gjenstand for mye debatt i Norge det siste tiåret; en debatt som blant annet har handlet om lovligheten og etikken i nordmenns reising ut av Norge for å få kvinner i andre land til å føde et barn for dem, ofte i bytte med penger. De siste par årene, i forbindelse med den pågående revideringen av Bioteknologiloven, har diskusjonen i økende grad handlet om hvorvidt surrogati burde være lovlig i Norge eller ei, nå helst uten penger involvert. Posisjonene i den norske offentlighet har etterhvert utkrystallisert seg som for eller imot (kommersiell eller altruistisk) surrogati, i Norge eller i andre land. I denne kommentarartikkelen hevder jeg til gjengjeld at ja eller nei til surrogati ikke er (det presserende) spørsmålet. I stedet argumenterer jeg for å se surrogati som en anledning til å tenke grundigere over hva reproduktiv assistanse er og kan være, og hvilke relasjonelle forpliktelser og nye politikker det kaller på. 40 år etter fødselen til verdens første prøverørsbarn i England, muliggjort av at reproduksjonsteknologien «ga naturen en hjelpende hånd» (jf. Strathern 2002), så har vi fortsatt lite (be)grep om hvordan vi skal forholde oss til den reproduktive assistansen og de menneskene som yter den. Dette ses i den norske barneloven, hvor kun to personer kan defineres som et barns foreldre, til tross for at barn rutinemessig unnfanges takket være flere menneskers innsats. Med inspirasjon i feministisk og skeiv teoretisering av familie, foreldreskap og omsorg(sarbeid), ønsker jeg her å utforske de mulige betydningene av reproduktiv assistanse og hvilket potensial som ligger i å tenke denne assistansen på måter som overskrider to-foreldrenormen og den avgrensede kjernefamilien.</w:t>
      </w:r>
    </w:p>
    <w:p w:rsidR="00DD6EB4" w:rsidRPr="00FD334F" w:rsidRDefault="00DD6EB4" w:rsidP="00DD6EB4">
      <w:pPr>
        <w:rPr>
          <w:rFonts w:ascii="Garamond" w:hAnsi="Garamond"/>
        </w:rPr>
      </w:pPr>
      <w:r w:rsidRPr="00A75A28">
        <w:rPr>
          <w:rFonts w:ascii="Garamond" w:hAnsi="Garamond"/>
          <w:b/>
        </w:rPr>
        <w:t>Ragni Hege Kitterød og Sigtona Halrynjo</w:t>
      </w:r>
      <w:r>
        <w:rPr>
          <w:rFonts w:ascii="Garamond" w:hAnsi="Garamond"/>
          <w:b/>
        </w:rPr>
        <w:t xml:space="preserve"> (ISF): </w:t>
      </w:r>
      <w:r w:rsidRPr="00FD334F">
        <w:rPr>
          <w:rFonts w:ascii="Garamond" w:hAnsi="Garamond"/>
          <w:bCs/>
        </w:rPr>
        <w:t xml:space="preserve">Fedrekvote og likestilling. Naturlige eksperimenter i norsk kontekst   </w:t>
      </w:r>
    </w:p>
    <w:p w:rsidR="00DD6EB4" w:rsidRPr="006817A0" w:rsidRDefault="00DD6EB4" w:rsidP="00DD6EB4">
      <w:pPr>
        <w:rPr>
          <w:rFonts w:ascii="Garamond" w:hAnsi="Garamond"/>
        </w:rPr>
      </w:pPr>
      <w:r w:rsidRPr="006817A0">
        <w:rPr>
          <w:rFonts w:ascii="Garamond" w:hAnsi="Garamond"/>
        </w:rPr>
        <w:t xml:space="preserve">I 1993 innførte Norge, som det første land i verden, en kvote for far i foreldrepengeordningen. Målsettingen var å styrke relasjonen mellom far og barn og fremme større likedeling av arbeidet hjemme og ute blant foreldre. Etter hvert har flere land innført lignende ordninger, og det er stor interesse for forskning om virkninger av fedrekvoten i Norge. Både blant forskere og politikere er det en klar forventning om at permisjon forbeholdt far vil gi en mindre spesialisert arbeidsdeling blant foreldre. Forskning gir imidlertid ulike svar på hvorvidt fedrekvoten har bidratt til dette. Kvalitative studier og studier som ser på statistiske sammenhenger viser en klar sammenheng mellom fars permisjonsbruk og fars og mors tilpasning til arbeid og familie på sikt. Kvasi-eksperimentelle studier, som tar sikte på å utelukke seleksjonseffekter, har imidlertid avdekket små og til dels motstridende kausale effekter av fedrekvotereformer i Norge. Studier av innføringen av fedrekvoten på fire uker i 1993 viser noen effekter i forventet retning på fars deltakelse hjemme, men ingen effekter i forventet retning på mors yrkesarbeid og inntekt. </w:t>
      </w:r>
      <w:r w:rsidRPr="006817A0">
        <w:rPr>
          <w:rFonts w:ascii="Garamond" w:hAnsi="Garamond"/>
        </w:rPr>
        <w:br/>
        <w:t xml:space="preserve">De beskjedne effektene av 1993-reformen er blant annet sett i lys av at en kvote på fire uker er for kort til å endre foreldrenes arbeidsdeling på sikt, at mange av de første fedrene som var omfattet av reformen ikke benyttet seg av ordningen, og at mangel på barnehageplasser kunne gjøre det vanskelig for mødre å jobbe. Kvoten er senere blitt utvidet flere ganger. Ved utvidelsen fra seks til 10 uker i 2009, var det klare forventinger om likestillingsvirkninger. Partene i arbeidslivet ser fedrekvoten som et instrument for å fremme kjønnslikestilling på arbeidsmarkedet, og Likelønnskommisjonen mente lengre kvote ville redusere kjønnsforskjeller i lønn. Utvidelsen i 2009 kom i form av to «friske uker», mens to uker ble tatt fra den delbare delen av permisjonen. Mor ville dermed komme tidligere tilbake i jobb, det var full barnehagedekning også for de minste barna, og ti uker hjemme med barn ville gi fedre god anledning til å utvikle selvstendige rutiner og omsorgsansvar. Studier som er gjort hittil har imidlertid ikke avdekket kausale effekter verken på mors eller fars yrkesaktivitet, inntekt eller karriere. I dette paperet diskuterer vi hvordan disse funnene skal forstås. Vi tar utgangspunkt i sentrale teoretiske perspektiver som ofte brukes for å begrunne forventningene om likestillingsvirkninger av fedrekvotereformer (teorien om komparative fortrinn, ressursmaktteorien og transformasjons-/forvandlingsperspektivet), og drøfter hvorvidt antakelsen om virkninger er realistiske i en norsk kontekst. Vi legger særlig vekt på trekk ved det norske arbeidsmarkedet, de store endringene i farsrollen de siste tiårene, arkitekturen av foreldrepengeordningen og forholdet til andre familiepolitiske elementer som barnehage og kontantstøtte. Vi knytter også an til komparativ velferdsforskning og diskusjoner av hvordan virkninger av familiepolitiske tiltak generelt kan analyseres og forstås.    </w:t>
      </w:r>
    </w:p>
    <w:p w:rsidR="00DD6EB4" w:rsidRPr="00FD334F" w:rsidRDefault="00DD6EB4" w:rsidP="00DD6EB4">
      <w:pPr>
        <w:rPr>
          <w:rFonts w:ascii="Garamond" w:eastAsia="Times New Roman" w:hAnsi="Garamond" w:cs="Arial"/>
          <w:color w:val="333E48"/>
          <w:lang w:eastAsia="zh-CN"/>
        </w:rPr>
      </w:pPr>
    </w:p>
    <w:p w:rsidR="00DD6EB4" w:rsidRPr="00FD334F" w:rsidRDefault="00DD6EB4" w:rsidP="00DD6EB4">
      <w:pPr>
        <w:rPr>
          <w:rFonts w:ascii="Garamond" w:hAnsi="Garamond"/>
        </w:rPr>
      </w:pPr>
      <w:r w:rsidRPr="00A75A28">
        <w:rPr>
          <w:rFonts w:ascii="Garamond" w:hAnsi="Garamond"/>
          <w:b/>
        </w:rPr>
        <w:t>Tanja Haraldsdatter Nordberg</w:t>
      </w:r>
      <w:r>
        <w:rPr>
          <w:rFonts w:ascii="Garamond" w:hAnsi="Garamond"/>
          <w:b/>
        </w:rPr>
        <w:t xml:space="preserve"> (Oslo Met): </w:t>
      </w:r>
      <w:r w:rsidRPr="00FD334F">
        <w:rPr>
          <w:rFonts w:ascii="Garamond" w:hAnsi="Garamond"/>
        </w:rPr>
        <w:t>Hvem har ansvaret for likestilling i arbeidslivet? En kritisk analyse av arbeidsgivers aktivitetsplikt</w:t>
      </w:r>
    </w:p>
    <w:p w:rsidR="00DD6EB4" w:rsidRPr="00A75A28" w:rsidRDefault="00DD6EB4" w:rsidP="00DD6EB4">
      <w:pPr>
        <w:shd w:val="clear" w:color="auto" w:fill="FFFFFF"/>
        <w:rPr>
          <w:rFonts w:ascii="Garamond" w:eastAsia="Times New Roman" w:hAnsi="Garamond" w:cs="Segoe UI"/>
          <w:lang w:eastAsia="nb-NO"/>
        </w:rPr>
      </w:pPr>
      <w:r w:rsidRPr="00A75A28">
        <w:rPr>
          <w:rFonts w:ascii="Garamond" w:eastAsia="Times New Roman" w:hAnsi="Garamond" w:cs="Segoe UI"/>
          <w:lang w:eastAsia="nb-NO"/>
        </w:rPr>
        <w:t xml:space="preserve">Artikkelen gir en kritisk analyse av arbeidsgivers plikt til å arbeide aktivt for å fremme likestilling. Empirien er kvalitative intervjuer med ledere i politiet og advokatbransjen om hvordan de forholder seg til ansattes bruk av omsorgsrettigheter. Hovedformålet er å undersøke i hvilken grad kan man endre kjønnede praksiser ved hjelp av lovgivning. Funnene viser at ledere i liten grad forholder seg til likestillingsidealet. De tilrettelegger på et minimumsnivå, ved å innvilge uttak. Enkelte ledere har imidlertid en aktiv tilretteleggingsorientering, noe som innebærer merarbeid for leder. Det er altså et rom for bevegelse langs et kontinuum av måter å tilrettelegge på, der tilrettelegging på minimumsnivå er i den ene enden og fullt fokus på likestilling er i den andre. Aktivitetspliktens utforming sammenlignes med øremerking av permisjon, som er langt mer konkret utformet. Aktivitetspliktens forutsetninger for å endre kjønnede praksiser diskuteres med utgangspunkt i rettssosiologiske teorier om lovers virkninger. Artikkelen utforsker det sosiale landskapet aktivitetsplikten og omsorgsrettighetene skal virke i med utgangspunkt i hvilket ledernivå likestillingsarbeidet skal foregå på, ulike institusjonelle logikker som er førende i organisasjonene og ledernes kjønnede forventninger. En konkret utforming og sanksjonsmuligheter forutsetninger dersom kjønnede praksiser skal endres ved hjelp av lovgivning. Landskapet, sammen med aktivitetspliktens vage utforming og manglende ansvarsplassering, gir aktivitetsplikten dårlige forutsetninger for å virke etter intensjonen. </w:t>
      </w:r>
    </w:p>
    <w:p w:rsidR="00DD6EB4" w:rsidRDefault="00DD6EB4" w:rsidP="00DD6EB4">
      <w:pPr>
        <w:rPr>
          <w:rFonts w:ascii="Garamond" w:hAnsi="Garamond"/>
          <w:b/>
        </w:rPr>
      </w:pPr>
    </w:p>
    <w:p w:rsidR="00DD6EB4" w:rsidRPr="001337DE" w:rsidRDefault="00DD6EB4" w:rsidP="00DD6EB4">
      <w:pPr>
        <w:shd w:val="clear" w:color="auto" w:fill="FFFFFF"/>
        <w:rPr>
          <w:rFonts w:ascii="Garamond" w:eastAsia="Times New Roman" w:hAnsi="Garamond" w:cs="Segoe UI"/>
          <w:lang w:eastAsia="nb-NO"/>
        </w:rPr>
      </w:pPr>
      <w:r w:rsidRPr="00FD334F">
        <w:rPr>
          <w:rFonts w:ascii="Garamond" w:eastAsia="Times New Roman" w:hAnsi="Garamond" w:cs="Segoe UI"/>
          <w:b/>
          <w:lang w:eastAsia="nb-NO"/>
        </w:rPr>
        <w:t>Rønnaug Sørensen og Rune Åkvik Nilsen</w:t>
      </w:r>
      <w:r>
        <w:rPr>
          <w:rFonts w:ascii="Garamond" w:eastAsia="Times New Roman" w:hAnsi="Garamond" w:cs="Segoe UI"/>
          <w:b/>
          <w:lang w:eastAsia="nb-NO"/>
        </w:rPr>
        <w:t xml:space="preserve"> (USN)</w:t>
      </w:r>
      <w:r>
        <w:rPr>
          <w:rFonts w:ascii="Garamond" w:eastAsia="Times New Roman" w:hAnsi="Garamond" w:cs="Segoe UI"/>
          <w:lang w:eastAsia="nb-NO"/>
        </w:rPr>
        <w:t xml:space="preserve">: </w:t>
      </w:r>
      <w:r w:rsidRPr="001337DE">
        <w:rPr>
          <w:rFonts w:ascii="Garamond" w:eastAsia="Times New Roman" w:hAnsi="Garamond" w:cs="Segoe UI"/>
          <w:lang w:eastAsia="nb-NO"/>
        </w:rPr>
        <w:t>Hvorfor er den maskuline dominansen så seiglivet?</w:t>
      </w:r>
      <w:r>
        <w:rPr>
          <w:rFonts w:ascii="Garamond" w:eastAsia="Times New Roman" w:hAnsi="Garamond" w:cs="Segoe UI"/>
          <w:lang w:eastAsia="nb-NO"/>
        </w:rPr>
        <w:t xml:space="preserve"> </w:t>
      </w:r>
      <w:r w:rsidRPr="001337DE">
        <w:rPr>
          <w:rFonts w:ascii="Garamond" w:eastAsia="Times New Roman" w:hAnsi="Garamond" w:cs="Segoe UI"/>
          <w:lang w:eastAsia="nb-NO"/>
        </w:rPr>
        <w:t>SKAM og den mangelfulle seksualundervisningen i norsk skole</w:t>
      </w:r>
    </w:p>
    <w:p w:rsidR="00DD6EB4" w:rsidRPr="001337DE" w:rsidRDefault="00DD6EB4" w:rsidP="00DD6EB4">
      <w:pPr>
        <w:shd w:val="clear" w:color="auto" w:fill="FFFFFF"/>
        <w:rPr>
          <w:rFonts w:ascii="Garamond" w:eastAsia="Times New Roman" w:hAnsi="Garamond" w:cs="Segoe UI"/>
          <w:lang w:eastAsia="nb-NO"/>
        </w:rPr>
      </w:pPr>
    </w:p>
    <w:p w:rsidR="00DD6EB4" w:rsidRPr="001337DE" w:rsidRDefault="00DD6EB4" w:rsidP="00DD6EB4">
      <w:pPr>
        <w:shd w:val="clear" w:color="auto" w:fill="FFFFFF"/>
        <w:rPr>
          <w:rFonts w:ascii="Garamond" w:eastAsia="Times New Roman" w:hAnsi="Garamond" w:cs="Segoe UI"/>
          <w:lang w:eastAsia="nb-NO"/>
        </w:rPr>
      </w:pPr>
      <w:r w:rsidRPr="001337DE">
        <w:rPr>
          <w:rFonts w:ascii="Garamond" w:eastAsia="Times New Roman" w:hAnsi="Garamond" w:cs="Segoe UI"/>
          <w:lang w:eastAsia="nb-NO"/>
        </w:rPr>
        <w:t xml:space="preserve">Etter #MeToo er det igjen mulig å snakke om patriarkatet, noe som gjør Bourdieus teori om maskulin dominans aktuell. Vi vil ta utgangspunkt i hans ide om maskulin dominans som doxa, en seiglivet dypstruktur. Vi vil bruke ungdomsserien SKAM for eksemplifisere dette. SKAM har videregående skole som institusjonell kontekst. Mannsdominansen i SKAM kommer imidlertid til syne i langt yngre alder; allerede i grunnskolen. Denne tilsynekomsten kaller vi for doxiske erupsjoner. Vår tese at seksualundervisningen i grunnskolen kommer for sent og er utilstrekkelig for å undergrave maskulin dominans som doxa før den får festet seg.  </w:t>
      </w:r>
    </w:p>
    <w:p w:rsidR="00DD6EB4" w:rsidRPr="001337DE" w:rsidRDefault="00DD6EB4" w:rsidP="00DD6EB4">
      <w:pPr>
        <w:shd w:val="clear" w:color="auto" w:fill="FFFFFF"/>
        <w:rPr>
          <w:rFonts w:ascii="Garamond" w:eastAsia="Times New Roman" w:hAnsi="Garamond" w:cs="Segoe UI"/>
          <w:lang w:eastAsia="nb-NO"/>
        </w:rPr>
      </w:pPr>
    </w:p>
    <w:p w:rsidR="00DD6EB4" w:rsidRPr="00703A92" w:rsidRDefault="00DD6EB4" w:rsidP="00DD6EB4">
      <w:pPr>
        <w:rPr>
          <w:rFonts w:ascii="Garamond" w:hAnsi="Garamond"/>
          <w:lang w:val="en-US"/>
        </w:rPr>
      </w:pPr>
      <w:r w:rsidRPr="00A75A28">
        <w:rPr>
          <w:rFonts w:ascii="Garamond" w:hAnsi="Garamond"/>
          <w:b/>
          <w:lang w:val="en-US"/>
        </w:rPr>
        <w:t>Julia Orupabo &amp; Marte Mangset</w:t>
      </w:r>
      <w:r>
        <w:rPr>
          <w:rFonts w:ascii="Garamond" w:hAnsi="Garamond"/>
          <w:b/>
          <w:lang w:val="en-US"/>
        </w:rPr>
        <w:t xml:space="preserve"> (ISF/Oslo Met): </w:t>
      </w:r>
      <w:r w:rsidRPr="00703A92">
        <w:rPr>
          <w:rFonts w:ascii="Garamond" w:hAnsi="Garamond"/>
          <w:lang w:val="en-US"/>
        </w:rPr>
        <w:t>Reproducing elites through diversity talk</w:t>
      </w:r>
    </w:p>
    <w:p w:rsidR="00DD6EB4" w:rsidRPr="00703A92" w:rsidRDefault="00DD6EB4" w:rsidP="00DD6EB4">
      <w:pPr>
        <w:rPr>
          <w:rFonts w:ascii="Garamond" w:hAnsi="Garamond"/>
          <w:lang w:val="en-US"/>
        </w:rPr>
      </w:pPr>
      <w:r w:rsidRPr="00703A92">
        <w:rPr>
          <w:rFonts w:ascii="Garamond" w:hAnsi="Garamond"/>
          <w:lang w:val="en-US"/>
        </w:rPr>
        <w:t>Judging merit in appointments to professorship in Norway</w:t>
      </w:r>
    </w:p>
    <w:p w:rsidR="00DD6EB4" w:rsidRPr="006817A0" w:rsidRDefault="00DD6EB4" w:rsidP="00DD6EB4">
      <w:pPr>
        <w:contextualSpacing/>
        <w:rPr>
          <w:rFonts w:ascii="Garamond" w:hAnsi="Garamond" w:cs="Times New Roman"/>
          <w:lang w:val="en-US"/>
        </w:rPr>
      </w:pPr>
      <w:r w:rsidRPr="006817A0">
        <w:rPr>
          <w:rFonts w:ascii="Garamond" w:hAnsi="Garamond" w:cs="Times New Roman"/>
          <w:bCs/>
          <w:lang w:val="en-US"/>
        </w:rPr>
        <w:t>Despite structural changes, like</w:t>
      </w:r>
      <w:r w:rsidRPr="006817A0">
        <w:rPr>
          <w:rFonts w:ascii="Garamond" w:hAnsi="Garamond" w:cs="Times New Roman"/>
          <w:lang w:val="en-US"/>
        </w:rPr>
        <w:t xml:space="preserve"> women’s and ethnic minorities’ </w:t>
      </w:r>
      <w:r w:rsidRPr="006817A0">
        <w:rPr>
          <w:rFonts w:ascii="Garamond" w:hAnsi="Garamond" w:cs="Times New Roman"/>
          <w:bCs/>
          <w:lang w:val="en-US"/>
        </w:rPr>
        <w:t xml:space="preserve">increased achievements in higher education, white men continue to dominate top positions in academia in western labor markets. The literature on recruitment has documented gendered and ethnic outcomes of the hiring process, but less work has examined the </w:t>
      </w:r>
      <w:r w:rsidRPr="006817A0">
        <w:rPr>
          <w:rFonts w:ascii="Garamond" w:hAnsi="Garamond" w:cs="Times New Roman"/>
          <w:bCs/>
          <w:i/>
          <w:lang w:val="en-US"/>
        </w:rPr>
        <w:t>process</w:t>
      </w:r>
      <w:r w:rsidRPr="006817A0">
        <w:rPr>
          <w:rFonts w:ascii="Garamond" w:hAnsi="Garamond" w:cs="Times New Roman"/>
          <w:bCs/>
          <w:lang w:val="en-US"/>
        </w:rPr>
        <w:t xml:space="preserve"> of decision-making itself.</w:t>
      </w:r>
      <w:r w:rsidRPr="006817A0">
        <w:rPr>
          <w:rFonts w:ascii="Garamond" w:hAnsi="Garamond" w:cs="Times New Roman"/>
          <w:bCs/>
          <w:iCs/>
          <w:lang w:val="en-US"/>
        </w:rPr>
        <w:t xml:space="preserve"> By following all stages of the recruitment process, this study explores how gatekeepers in academia evaluate, compare and select candidates for associate- and full professors. Building on qualitative interviews with 52 committee members, we illustrate first, how the criteria and logics of assessing competence varies between different stages of the recruitment process. Second, and related, the study describes how gatekeepers’ “diversity frames” differ in different stages of the decision-making process. One important implication of our findings is that, given that frames of interpretation shapes how decisions are made in academic recruiting, it is of crucial importance to grasp the fluidity of these frames and identify the specific conditions where such frames disrupt or contribute to reproducing inequality.  </w:t>
      </w:r>
    </w:p>
    <w:p w:rsidR="00DD6EB4" w:rsidRPr="003472CE" w:rsidRDefault="00DD6EB4" w:rsidP="00DD6EB4">
      <w:pPr>
        <w:shd w:val="clear" w:color="auto" w:fill="FFFFFF"/>
        <w:rPr>
          <w:rFonts w:ascii="Garamond" w:eastAsia="Times New Roman" w:hAnsi="Garamond" w:cs="Times New Roman"/>
          <w:color w:val="212121"/>
          <w:lang w:val="en-US" w:eastAsia="nb-NO"/>
        </w:rPr>
      </w:pPr>
    </w:p>
    <w:p w:rsidR="00DD6EB4" w:rsidRDefault="00DD6EB4" w:rsidP="00DD6EB4">
      <w:pPr>
        <w:shd w:val="clear" w:color="auto" w:fill="FFFFFF"/>
        <w:rPr>
          <w:rFonts w:ascii="Garamond" w:eastAsia="Times New Roman" w:hAnsi="Garamond" w:cs="Segoe UI"/>
          <w:lang w:eastAsia="nb-NO"/>
        </w:rPr>
      </w:pPr>
      <w:r w:rsidRPr="00703A92">
        <w:rPr>
          <w:rFonts w:ascii="Garamond" w:eastAsia="Times New Roman" w:hAnsi="Garamond" w:cs="Segoe UI"/>
          <w:b/>
          <w:lang w:eastAsia="nb-NO"/>
        </w:rPr>
        <w:t>Mona Bråten</w:t>
      </w:r>
      <w:r>
        <w:rPr>
          <w:rFonts w:ascii="Garamond" w:eastAsia="Times New Roman" w:hAnsi="Garamond" w:cs="Segoe UI"/>
          <w:b/>
          <w:lang w:eastAsia="nb-NO"/>
        </w:rPr>
        <w:t xml:space="preserve"> (FAFO)</w:t>
      </w:r>
      <w:r>
        <w:rPr>
          <w:rFonts w:ascii="Garamond" w:eastAsia="Times New Roman" w:hAnsi="Garamond" w:cs="Segoe UI"/>
          <w:lang w:eastAsia="nb-NO"/>
        </w:rPr>
        <w:t xml:space="preserve">: </w:t>
      </w:r>
      <w:r w:rsidRPr="00703A92">
        <w:rPr>
          <w:rFonts w:ascii="Garamond" w:eastAsia="Times New Roman" w:hAnsi="Garamond" w:cs="Segoe UI"/>
          <w:lang w:eastAsia="nb-NO"/>
        </w:rPr>
        <w:t>Seksuell trakassering på norske arbeidsplasser</w:t>
      </w:r>
    </w:p>
    <w:p w:rsidR="00DD6EB4" w:rsidRPr="00703A92" w:rsidRDefault="00DD6EB4" w:rsidP="00DD6EB4">
      <w:pPr>
        <w:shd w:val="clear" w:color="auto" w:fill="FFFFFF"/>
        <w:rPr>
          <w:rFonts w:ascii="Garamond" w:eastAsia="Times New Roman" w:hAnsi="Garamond" w:cs="Segoe UI"/>
          <w:lang w:eastAsia="nb-NO"/>
        </w:rPr>
      </w:pPr>
    </w:p>
    <w:p w:rsidR="00DD6EB4" w:rsidRPr="00130A5C" w:rsidRDefault="00DD6EB4" w:rsidP="00DD6EB4">
      <w:pPr>
        <w:shd w:val="clear" w:color="auto" w:fill="FFFFFF"/>
        <w:rPr>
          <w:rFonts w:ascii="Garamond" w:eastAsia="Times New Roman" w:hAnsi="Garamond" w:cs="Segoe UI"/>
          <w:lang w:eastAsia="nb-NO"/>
        </w:rPr>
      </w:pPr>
      <w:r w:rsidRPr="00130A5C">
        <w:rPr>
          <w:rFonts w:ascii="Garamond" w:eastAsia="Times New Roman" w:hAnsi="Garamond" w:cs="Segoe UI"/>
          <w:lang w:eastAsia="nb-NO"/>
        </w:rPr>
        <w:t xml:space="preserve">I forbindelse med #metoo-kampanjen på sosiale medier høsten 2017 så vi hvordan en rekke kvinner sto fram og fortalte om seksuell trakassering eller overgrep de selv har opplevd i forbindelse med jobben. I bransje etter bransje sto kvinner fram og fortale i offentligheten det de ikke hadde sagt til noen tidligere. Gjennom denne kampanjen fikk vi et godt innblikk i hva seksuell trakassering i en jobbsituasjon kan dreie seg om for ulike yrkesgrupper og i ulike deler av arbeidslivet. I Norge var det i hovedsak kvinner i høystatusyrker slik som leger, jurister og scenekunstnere som hadde sine egne #metoo-opprop. Samtidig var det grunn til å anta at dette er var et utbredt problem også i deler av arbeidslivet som ikke hadde sine egne opprop. Omfangsundersøkelser gjennomført av Statistisk sentralbyrå fra 1989 til 2016 har vist at ansatte i typisk kvinnedominerte yrkesgrupper innen omsorgs- og servicesektoren er mer utsatt for seksuell trakassering i jobben enn andre. Det overordnede bildet basert på SSB sine levekårsdata har imidlertid vist at seksuell trakassering ikke har vært et særlig utbredt arbeidsmiljøproblem i norsk arbeidsliv totalt sett i perioden 1989-2016. En forklaring kan være måten spørsmålene har blitt stilt på i disse undersøkelsene. Mange ble derfor overrasket da #metoo-kampanjen viste et langt større omfang enn hva man hadde trodd basert på nasjonale kartleggingsundersøkelser. </w:t>
      </w:r>
    </w:p>
    <w:p w:rsidR="00DD6EB4" w:rsidRPr="00130A5C" w:rsidRDefault="00DD6EB4" w:rsidP="00DD6EB4">
      <w:pPr>
        <w:shd w:val="clear" w:color="auto" w:fill="FFFFFF"/>
        <w:rPr>
          <w:rFonts w:ascii="Garamond" w:eastAsia="Times New Roman" w:hAnsi="Garamond" w:cs="Segoe UI"/>
          <w:lang w:eastAsia="nb-NO"/>
        </w:rPr>
      </w:pPr>
      <w:r w:rsidRPr="00130A5C">
        <w:rPr>
          <w:rFonts w:ascii="Garamond" w:eastAsia="Times New Roman" w:hAnsi="Garamond" w:cs="Segoe UI"/>
          <w:lang w:eastAsia="nb-NO"/>
        </w:rPr>
        <w:t xml:space="preserve">Da #metoo-kampanjen kom til Norge økte derfor behovet for kunnskap omkring seksuell trakassering i arbeidslivet; hvor omfattende, hva var risikofaktorene og hvordan blir slike saker håndtert i virksomhetene, var spørsmål som både politikere og media ønsket raske svar på. På arbeidslivsfeltet var det imidlertid gjort lite forskning omkring seksuell trakassering de seneste årene, og det fantes lite oppdatert kunnskap om temaet som kunne møte den store etterspørselen etter kunnskap utløst av #metoo. </w:t>
      </w:r>
    </w:p>
    <w:p w:rsidR="00DD6EB4" w:rsidRDefault="00DD6EB4" w:rsidP="00DD6EB4">
      <w:pPr>
        <w:shd w:val="clear" w:color="auto" w:fill="FFFFFF"/>
        <w:rPr>
          <w:rFonts w:ascii="Garamond" w:eastAsia="Times New Roman" w:hAnsi="Garamond" w:cs="Segoe UI"/>
          <w:lang w:eastAsia="nb-NO"/>
        </w:rPr>
      </w:pPr>
    </w:p>
    <w:p w:rsidR="00DD6EB4" w:rsidRPr="00130A5C" w:rsidRDefault="00DD6EB4" w:rsidP="00DD6EB4">
      <w:pPr>
        <w:shd w:val="clear" w:color="auto" w:fill="FFFFFF"/>
        <w:rPr>
          <w:rFonts w:ascii="Garamond" w:eastAsia="Times New Roman" w:hAnsi="Garamond" w:cs="Segoe UI"/>
          <w:lang w:eastAsia="nb-NO"/>
        </w:rPr>
      </w:pPr>
      <w:r w:rsidRPr="00130A5C">
        <w:rPr>
          <w:rFonts w:ascii="Garamond" w:eastAsia="Times New Roman" w:hAnsi="Garamond" w:cs="Segoe UI"/>
          <w:lang w:eastAsia="nb-NO"/>
        </w:rPr>
        <w:t xml:space="preserve">Det reiser spørsmål om hvorfor vi ikke har greid å fange opp omfanget tidligere? Hvorfor kom #metoo så overraskende i arbeidslivet som er sterkt regulert av lov- og avtaleverk, hvor beskyttelse av arbeidstakeren er grunnleggende norm? Systemsvikt ble fort både svaret og løsningen. </w:t>
      </w:r>
    </w:p>
    <w:p w:rsidR="00DD6EB4" w:rsidRPr="00703A92" w:rsidRDefault="00DD6EB4" w:rsidP="00DD6EB4">
      <w:pPr>
        <w:shd w:val="clear" w:color="auto" w:fill="FFFFFF"/>
        <w:rPr>
          <w:rFonts w:ascii="Garamond" w:eastAsia="Times New Roman" w:hAnsi="Garamond" w:cs="Segoe UI"/>
          <w:lang w:eastAsia="nb-NO"/>
        </w:rPr>
      </w:pPr>
    </w:p>
    <w:p w:rsidR="00DD6EB4" w:rsidRPr="00A75A28" w:rsidRDefault="00DD6EB4" w:rsidP="00DD6EB4">
      <w:pPr>
        <w:shd w:val="clear" w:color="auto" w:fill="FFFFFF"/>
        <w:rPr>
          <w:rFonts w:ascii="Garamond" w:eastAsia="Times New Roman" w:hAnsi="Garamond" w:cs="Segoe UI"/>
          <w:lang w:eastAsia="nb-NO"/>
        </w:rPr>
      </w:pPr>
      <w:r w:rsidRPr="00703A92">
        <w:rPr>
          <w:rFonts w:ascii="Garamond" w:eastAsia="Times New Roman" w:hAnsi="Garamond" w:cs="Segoe UI"/>
          <w:b/>
          <w:lang w:eastAsia="nb-NO"/>
        </w:rPr>
        <w:t>May-Len Skilbrei</w:t>
      </w:r>
      <w:r>
        <w:rPr>
          <w:rFonts w:ascii="Garamond" w:eastAsia="Times New Roman" w:hAnsi="Garamond" w:cs="Segoe UI"/>
          <w:b/>
          <w:lang w:eastAsia="nb-NO"/>
        </w:rPr>
        <w:t xml:space="preserve"> (Inst for kriminologi og rettssosiologi, UiO)</w:t>
      </w:r>
      <w:r>
        <w:rPr>
          <w:rFonts w:ascii="Garamond" w:eastAsia="Times New Roman" w:hAnsi="Garamond" w:cs="Segoe UI"/>
          <w:lang w:eastAsia="nb-NO"/>
        </w:rPr>
        <w:t xml:space="preserve">: </w:t>
      </w:r>
      <w:r w:rsidRPr="00A75A28">
        <w:rPr>
          <w:rFonts w:ascii="Garamond" w:eastAsia="Times New Roman" w:hAnsi="Garamond" w:cs="Segoe UI"/>
          <w:lang w:eastAsia="nb-NO"/>
        </w:rPr>
        <w:t xml:space="preserve">Legalstrategier i nordisk feminisme. </w:t>
      </w:r>
      <w:r w:rsidRPr="00A75A28">
        <w:rPr>
          <w:rFonts w:ascii="Garamond" w:eastAsia="Times New Roman" w:hAnsi="Garamond" w:cs="Segoe UI"/>
          <w:lang w:eastAsia="nb-NO"/>
        </w:rPr>
        <w:br/>
      </w:r>
    </w:p>
    <w:p w:rsidR="00DD6EB4" w:rsidRPr="001337DE" w:rsidRDefault="00DD6EB4" w:rsidP="00DD6EB4">
      <w:pPr>
        <w:rPr>
          <w:rFonts w:ascii="Garamond" w:hAnsi="Garamond"/>
          <w:lang w:val="nn-NO"/>
        </w:rPr>
      </w:pPr>
      <w:r w:rsidRPr="001337DE">
        <w:rPr>
          <w:rFonts w:ascii="Garamond" w:hAnsi="Garamond"/>
          <w:b/>
          <w:lang w:val="nn-NO"/>
        </w:rPr>
        <w:t xml:space="preserve">Guri Tyldum (FAFO): </w:t>
      </w:r>
      <w:r w:rsidRPr="001337DE">
        <w:rPr>
          <w:rStyle w:val="Strong"/>
          <w:rFonts w:ascii="Garamond" w:hAnsi="Garamond"/>
          <w:lang w:val="nn-NO"/>
        </w:rPr>
        <w:t>Likestilling som ideal og realitet</w:t>
      </w:r>
    </w:p>
    <w:p w:rsidR="00DD6EB4" w:rsidRDefault="00DD6EB4" w:rsidP="00DD6EB4">
      <w:pPr>
        <w:rPr>
          <w:rFonts w:ascii="Garamond" w:hAnsi="Garamond"/>
        </w:rPr>
      </w:pPr>
      <w:r w:rsidRPr="006817A0">
        <w:rPr>
          <w:rFonts w:ascii="Garamond" w:hAnsi="Garamond"/>
        </w:rPr>
        <w:t xml:space="preserve">I dette paperet ser jeg på holdninger til kjønnslikestilling og likestillingspolitikk i Norge. Internasjonale undersøkelser viser gjerne at likestillingstilslutningen i befolkningen øker over tid, og at kjønn, alder og utdanning er sentrale forklaringsvariabler, der tilslutningen er høyest i yngre aldersgrupper og blant kvinner. I en studie fra 2006 finner imidlertid Mari Teigen lavere støtte til kjønnslikestilling blant menn i de yngste aldersgruppene (Teigen, 2006).  I vår undersøkelse av holdninger til likestilling og diskriminering fra 2018 finner en tilsvarende trend; støtten til likestillingstiltak er klart sterkere i de eldre aldersgruppene enn blant yngre, og denne trenden finner vi nå både for kvinner og for menn. Vi finner imidlertid at holdninger til likestilling varierer avhengig av om man spør om holdninger til idealet (om det bør være likestilling), holdninger til situasjonen slik den er nå (om det er likestilling i dag) og holdninger til virkemidlene i likestillingspolitikken (om likestillingsarbeidet bør føres videre og om pappaperm er bra).  Mens støtte til likestillingstiltak er mest utbredt i elitesjikt i samfunnet (blant personer med høyere utdannelse, som leser Morgenbladet og Klassekampen), mener personer som ikke har høyere utdannelse, og som oppgir at de har en vanskelig økonomisk situasjon oftere at dagens arbeidsmarked ikke er likestilt. </w:t>
      </w:r>
    </w:p>
    <w:p w:rsidR="00DD6EB4" w:rsidRDefault="00DD6EB4" w:rsidP="00DD6EB4">
      <w:pPr>
        <w:rPr>
          <w:rFonts w:ascii="Garamond" w:hAnsi="Garamond"/>
        </w:rPr>
      </w:pPr>
      <w:r w:rsidRPr="00703A92">
        <w:rPr>
          <w:rFonts w:ascii="Garamond" w:hAnsi="Garamond"/>
          <w:b/>
        </w:rPr>
        <w:t>Hannah Løke Kjos</w:t>
      </w:r>
      <w:r>
        <w:rPr>
          <w:rFonts w:ascii="Garamond" w:hAnsi="Garamond"/>
          <w:b/>
        </w:rPr>
        <w:t xml:space="preserve"> (ISF)</w:t>
      </w:r>
      <w:r>
        <w:rPr>
          <w:rFonts w:ascii="Garamond" w:hAnsi="Garamond"/>
        </w:rPr>
        <w:t>: Identitetspolitikk og feminisme</w:t>
      </w:r>
    </w:p>
    <w:p w:rsidR="00DD6EB4" w:rsidRPr="001337DE" w:rsidRDefault="00DD6EB4" w:rsidP="00DD6EB4">
      <w:pPr>
        <w:rPr>
          <w:rFonts w:ascii="Garamond" w:hAnsi="Garamond"/>
        </w:rPr>
      </w:pPr>
      <w:r>
        <w:rPr>
          <w:rFonts w:ascii="Garamond" w:hAnsi="Garamond"/>
        </w:rPr>
        <w:t xml:space="preserve">Tema er </w:t>
      </w:r>
      <w:r w:rsidRPr="001337DE">
        <w:rPr>
          <w:rFonts w:ascii="Garamond" w:hAnsi="Garamond"/>
        </w:rPr>
        <w:t xml:space="preserve">spenningen mellom identitetspolitikk/identitetsteori og politisk mobilisering generelt og feminisme/feministisk teori/kjønnsforskning spesielt. </w:t>
      </w:r>
      <w:r>
        <w:rPr>
          <w:rFonts w:ascii="Garamond" w:hAnsi="Garamond"/>
        </w:rPr>
        <w:t>Det har vært hevdet a</w:t>
      </w:r>
      <w:r w:rsidRPr="001337DE">
        <w:rPr>
          <w:rFonts w:ascii="Garamond" w:hAnsi="Garamond"/>
        </w:rPr>
        <w:t>t identitetspolitikk/teori «ødelegger» for de mer grunnleggende skillelinjene og overteoretiserer kjønnsteorien. Et argument har også vært at identitetsbaserte utgangspunkt har etablert seg som et dominerende perspektiv som man «må» innlemme</w:t>
      </w:r>
      <w:r>
        <w:rPr>
          <w:rFonts w:ascii="Garamond" w:hAnsi="Garamond"/>
        </w:rPr>
        <w:t>s</w:t>
      </w:r>
      <w:r w:rsidRPr="001337DE">
        <w:rPr>
          <w:rFonts w:ascii="Garamond" w:hAnsi="Garamond"/>
        </w:rPr>
        <w:t xml:space="preserve"> i analyse og politikk. På den andre siden ser vi den «interseksjonelle vendingen» (som dog ikke er helt ny) og at de gamle skillelinjene for eksempel </w:t>
      </w:r>
      <w:r>
        <w:rPr>
          <w:rFonts w:ascii="Garamond" w:hAnsi="Garamond"/>
        </w:rPr>
        <w:t>k</w:t>
      </w:r>
      <w:r w:rsidRPr="001337DE">
        <w:rPr>
          <w:rFonts w:ascii="Garamond" w:hAnsi="Garamond"/>
        </w:rPr>
        <w:t>jønn</w:t>
      </w:r>
      <w:r>
        <w:rPr>
          <w:rFonts w:ascii="Garamond" w:hAnsi="Garamond"/>
        </w:rPr>
        <w:t>,</w:t>
      </w:r>
      <w:r w:rsidRPr="001337DE">
        <w:rPr>
          <w:rFonts w:ascii="Garamond" w:hAnsi="Garamond"/>
        </w:rPr>
        <w:t xml:space="preserve"> ikke er «nok». </w:t>
      </w:r>
    </w:p>
    <w:p w:rsidR="00DD6EB4" w:rsidRPr="00703A92" w:rsidRDefault="00DD6EB4" w:rsidP="00DD6EB4">
      <w:pPr>
        <w:rPr>
          <w:rFonts w:ascii="Garamond" w:hAnsi="Garamond" w:cs="Times New Roman"/>
          <w:bCs/>
        </w:rPr>
      </w:pPr>
      <w:r w:rsidRPr="00703A92">
        <w:rPr>
          <w:rFonts w:ascii="Garamond" w:hAnsi="Garamond" w:cs="Times New Roman"/>
          <w:b/>
          <w:bCs/>
        </w:rPr>
        <w:t>Anne-Britt Djuve</w:t>
      </w:r>
      <w:r>
        <w:rPr>
          <w:rFonts w:ascii="Garamond" w:hAnsi="Garamond" w:cs="Times New Roman"/>
          <w:b/>
          <w:bCs/>
        </w:rPr>
        <w:t xml:space="preserve"> (FAFO)</w:t>
      </w:r>
      <w:r>
        <w:rPr>
          <w:rFonts w:ascii="Garamond" w:hAnsi="Garamond" w:cs="Times New Roman"/>
          <w:bCs/>
        </w:rPr>
        <w:t xml:space="preserve">: </w:t>
      </w:r>
      <w:r w:rsidRPr="00703A92">
        <w:rPr>
          <w:rFonts w:ascii="Garamond" w:hAnsi="Garamond" w:cs="Times New Roman"/>
          <w:bCs/>
        </w:rPr>
        <w:t>Kvinne, tigger og migrant: Den ultimate interseksjonalitet, eller en ny posisjon for romkvinner?</w:t>
      </w:r>
    </w:p>
    <w:p w:rsidR="00DD6EB4" w:rsidRPr="00AB4508" w:rsidRDefault="00DD6EB4" w:rsidP="00DD6EB4">
      <w:pPr>
        <w:rPr>
          <w:rFonts w:ascii="Garamond" w:hAnsi="Garamond" w:cs="Times New Roman"/>
          <w:bCs/>
        </w:rPr>
      </w:pPr>
      <w:r w:rsidRPr="00130A5C">
        <w:rPr>
          <w:rFonts w:ascii="Garamond" w:hAnsi="Garamond" w:cs="Times New Roman"/>
          <w:bCs/>
        </w:rPr>
        <w:t xml:space="preserve">Kvinner tilhørende rombefolkningen på Balkan omtales ofte som dobbelt diskriminert – eller mer. </w:t>
      </w:r>
      <w:r w:rsidRPr="00AB4508">
        <w:rPr>
          <w:rFonts w:ascii="Garamond" w:hAnsi="Garamond" w:cs="Times New Roman"/>
          <w:bCs/>
        </w:rPr>
        <w:t xml:space="preserve">De diskrimineres internt som følge av tradisjonell patriarkalsk kultur. Blant de mest alvorlige utfallene av dette er (svært) tidlig ekteskap og voldsutsatthet. De diskrimineres eksternt fordi de er rom. Blant de mest alvorlige utfallene av dette er lite eller ingen utdanning og svært vanskelig tilgang til arbeidsmarkedet, samt fattigdom og til dels svært dårlige boforhold og helseproblemer. Flere studier peker også på utfordringer knyttet til medborgerskap og medbestemmelse, i det kvinner som er rom antas å ha manglende tilgang til å delta i beslutninger både internt i familien, i romsamfunnet de er en del av, og i storsamfunnet. Tidlige ekteskap, barnefødsler, manglende utdanning og omfattende diskriminering fra storsamfunnet bidrar sammen til at mange romkvinner befinner seg i en sårbar situasjon – de blir svært avhengige av ektefelle og familie, fordi de har små muligheter til å klare seg på egen hånd. </w:t>
      </w:r>
    </w:p>
    <w:p w:rsidR="00DD6EB4" w:rsidRPr="00AB4508" w:rsidRDefault="00DD6EB4" w:rsidP="00DD6EB4">
      <w:pPr>
        <w:rPr>
          <w:rFonts w:ascii="Garamond" w:hAnsi="Garamond" w:cs="Times New Roman"/>
          <w:bCs/>
        </w:rPr>
      </w:pPr>
      <w:r w:rsidRPr="00AB3AE0">
        <w:rPr>
          <w:rFonts w:ascii="Garamond" w:hAnsi="Garamond" w:cs="Times New Roman"/>
          <w:bCs/>
        </w:rPr>
        <w:t xml:space="preserve">I perioden etter at Romania ble medlem av EU har det vokst fram en betydelig sirkulær migrasjon av kvinner og –menn mellom Romania og de skandinaviske landene, av personer som ikke har noe fast sted å bo eller noen ordinær jobb. </w:t>
      </w:r>
      <w:r w:rsidRPr="00AB4508">
        <w:rPr>
          <w:rFonts w:ascii="Garamond" w:hAnsi="Garamond" w:cs="Times New Roman"/>
          <w:bCs/>
        </w:rPr>
        <w:t xml:space="preserve">De bor på gata, i biler, eller i skogen, og tjener penger på blant annet flaskepanting, tigging og salg av magasiner. Mange av disse migrantene har etnisk tilhørighet som rom. Spesielt blant kvinnene er det en stor overvekt som er rom. Denne formen for migrasjon er altså en strategi som i større grad anvendes av kvinner med rombakgrunn, enn kvinner uten rombakgrunn.  Gitt sårbarheten til denne gruppa er det dermed grunn til å spørre om dette er en praksis som gjør kvinnene enda mer sårbare og utsatt for vold og utnytting. Det er ikke vanskelig å forestille seg at det å bo på gata i et fremmed land kan være vanskeligere for kvinner enn for menn. Samtidig har dette i løpet av relativt kort tid blitt en nokså etablert praksis, og i Oslo kommer de samme kvinnene tilbake gjentatte ganger, med eller uten sine ektemenn. Det er liten tvil om at det er inntjeningsmulighetene som holder liv i denne migrasjonspraksisen, og at kvinnene i stor grad bidrar til inntjeningen. Gitt en tradisjonell kultur der kvinnenes rolle i stor grad har vært å ha ansvar for hus og barn, og i mindre grad å sørge for husholdningens inntekt, er dette en relativt ny rolle for kvinnene. Det er dermed grunn til å spørre ikke bare om denne migrasjonspraksisen er resultat av den sårbare posisjonen kvinner er i , og om den forsterker den sårbare posisjonen, men også om dette er en strategi som kvinnene har valgt selv, og som gjennom økt økonomisk selvstendighet reduserer sårbarhet og gir grunnlag for en styrking av deres posisjon.  </w:t>
      </w:r>
    </w:p>
    <w:p w:rsidR="00B212B9" w:rsidRDefault="00B212B9">
      <w:bookmarkStart w:id="0" w:name="_GoBack"/>
      <w:bookmarkEnd w:id="0"/>
    </w:p>
    <w:sectPr w:rsidR="00B212B9" w:rsidSect="00DB78F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B4"/>
    <w:rsid w:val="00B212B9"/>
    <w:rsid w:val="00DB78F8"/>
    <w:rsid w:val="00DD6EB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CB43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B4"/>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EB4"/>
    <w:rPr>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D6EB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B4"/>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EB4"/>
    <w:rPr>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D6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3100</Words>
  <Characters>17676</Characters>
  <Application>Microsoft Macintosh Word</Application>
  <DocSecurity>0</DocSecurity>
  <Lines>147</Lines>
  <Paragraphs>41</Paragraphs>
  <ScaleCrop>false</ScaleCrop>
  <Company/>
  <LinksUpToDate>false</LinksUpToDate>
  <CharactersWithSpaces>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Heie Gregersen</dc:creator>
  <cp:keywords/>
  <dc:description/>
  <cp:lastModifiedBy>Magnus Heie Gregersen</cp:lastModifiedBy>
  <cp:revision>1</cp:revision>
  <dcterms:created xsi:type="dcterms:W3CDTF">2019-01-31T14:48:00Z</dcterms:created>
  <dcterms:modified xsi:type="dcterms:W3CDTF">2019-01-31T14:48:00Z</dcterms:modified>
</cp:coreProperties>
</file>